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color w:val="548dd4"/>
        </w:rPr>
      </w:pPr>
      <w:r w:rsidDel="00000000" w:rsidR="00000000" w:rsidRPr="00000000">
        <w:rPr>
          <w:rFonts w:ascii="Lato" w:cs="Lato" w:eastAsia="Lato" w:hAnsi="Lato"/>
          <w:color w:val="548dd4"/>
          <w:rtl w:val="0"/>
        </w:rPr>
        <w:t xml:space="preserve">RAPORT BLUE MEDIA: JAK KUPUJEMY W INTERNECIE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Polacy chcą mieć wybór metod płatności [RAPORT]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86 proc. polskich internautów kupuje przez internet. W kwestii wyboru metod płatności, jesteśmy bardzo wybredni. Ma być nie tylko tanio, ale i wygodnie. Już 16 proc. kupujących online jest gotowych zapisać w sklepie dane swojej karty, aby móc płacić jednym kliknięciem – wynika z badania Blue Media „Jak kupujemy w Internecie 2017”. 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niezmiennie jest najważniejszym kryterium wyboru sklepu internetowego, ale tuż za nią znalazły się inne wskaźniki. Ponad 40 proc. badanych sprawdza wiarygodność sklepu, w którym zamierza dokonać zakupu, podobny odsetek osób zwraca uwagę na wygodę w realizacji zakupów i płatności.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porównaniu do ubiegłego roku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większą uwagę zwracamy na bezpieczeństwo transakcji, dlatego coraz istotniejsza staje się wiarygodność firmy obsługującej płatności. Ważna jest także różnorodność metod płatności. Prawie połowa z nas zrezygnowała z zakupu w danym sklepie ze względu na brak dogodnej formy płatności.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Najczęściej wybieramy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płatności elektroniczne (66 proc.)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, opcję za pobraniem (47 proc.) oraz samodzielny przelew (38 proc.). Co ciekawe, na poczcie bądź kurierowi zdecydowanie częściej płacą osoby młodsze. Nie sprawdzają się zatem stereotypy mówiące o tym, że to starsi użytkownicy boją się płacić przez internet.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Płatności elektroniczne są również ulubionym sposobem na płacenie za zamówione towary (łącznie 32 proc.), na kolejnym miejscu znalazła się płatność za pobraniem (29 proc.). W porównaniu do ubiegłego roku spadł odsetek osób, które najchętniej płacą samodzielnym przelewem na konto sklepu (z 21 na 16 proc.)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Kluczem w rozwoju płatności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w kolejnych latach będzie propozycja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skierowana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dla klientów, którzy obecnie najczęściej i najchętniej korzystają z opcji „za pobraniem”. To niemal jedna trzecia wszystkich kupujących w internecie! W tym momencie jest to największy niezagospodarowany płatnościami online obszar przepływów pieniężnych w polskim e-handlu. Ten kto pierwszy zaproponuje rozwiązanie lub kilka połączonych rozwiązań dla tej grupy klientów może zgarnąć nawet 10 miliardy zł obrot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 - szacuje Krystian Wesołowski z Blue Media, odpowiedzialny za rozwój Płatności Online BM.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Wygoda w zamian za dane kartowe?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ieliczne sklepy oferują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przechowywanie numeru karty płatniczej, dzięki czemu płatność trwa mniej niż sekundę i w zasadzie polega na wskazaniu rachunku, z którego mają zostać pobrane pieniądze. Do rejestracji karty płatniczej w sklepie internetowym, aby móc tzw. jednym kliknięciem płacić za zakupy podchodzimy z pewnym zainteresowaniem. Zgodę na to wyraziłoby 16 proc. badanych. Większą skłonność do akceptacji takiego rozwiązania wykazują mężczyźni, a także osoby młodsze.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40 proc. osób odrzucających rejestrację swojej karty płatniczej w sklepie internetowym twierdzi, że nic nie jest w stanie ich przekonać do zmiany decyzji. Pozostali </w:t>
      </w:r>
      <w:r w:rsidDel="00000000" w:rsidR="00000000" w:rsidRPr="00000000">
        <w:rPr>
          <w:rFonts w:ascii="Lato" w:cs="Lato" w:eastAsia="Lato" w:hAnsi="Lato"/>
          <w:color w:val="38761d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ako argument za takim rozwiązaniem wskazują przede wszystkim na zaufanie do konkretnego sklepu (16 proc.), zabezpieczenie w postaci potwierdzeń każdej transakcji sms-em czy też gwarancję szybkiego zwrotu środków w przypadku reklamacji. Wpływ mogłyby mieć również specjalne oferty cenowe w sklepie (11 proc.).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Płatności typu one-click muszą bazować na silnej marce i wiarygodności sklepu. Idealnym przykładem są wdrożenie szybkich płatności kartą dla takich marek jak UPC, Play czy Ergo Hestia. Wkomponowany w proces zakupu mechanizm rejestracji karty jest naturalny i często niesie za sobą dodatkową korzyść dla klienta, np. darmowe minuty, pakiet kanałów, czy zniżkę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- podkreśla Krystian Wesołowski z Blue Media.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  <w:rPr>
                <w:rFonts w:ascii="Lato" w:cs="Lato" w:eastAsia="Lato" w:hAnsi="La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Metodologia badania Satisface dla Blue Media: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badanie internetowe CAWI, zrealizowano łącznie 1082 wywiady w czerwcu 2017 r.  na reprezentatywnej próbie ogólnopolskiej.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W raporcie użyto porównań do badania ubiegłorocznego - należy mieć na uwadze, że w 2016 r. badanie realizowano metodą CATI (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wywiadów telefonicznych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 Blue Media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 Blue Media jest właścicielem i operatorem platformy pożyczek społecznościowych Kokos.pl oraz serwisu finansów osobistych bm.pl.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Blue Media w oparciu o zgodę NBP prowadzi działalność rozliczeniową i rozrachunkową. Firma jest licencjonowaną przez KNF krajową instytucją płatniczą oraz członkiem Forum Technologii Bankowych przy Związku Banków Polskich. 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hyperlink r:id="rId5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www.bluemedia.pl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Kontakt dla mediów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Zuzanna Szybisty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Profeina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Kom. +48 663 728 472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hyperlink r:id="rId6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zuza@profeina.pl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50"/>
        </w:tabs>
        <w:contextualSpacing w:val="0"/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474" w:top="1701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>
        <w:rFonts w:ascii="Verdana" w:cs="Verdana" w:eastAsia="Verdana" w:hAnsi="Verdana"/>
        <w:color w:val="80808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808080"/>
        <w:sz w:val="16"/>
        <w:szCs w:val="16"/>
        <w:rtl w:val="0"/>
      </w:rPr>
      <w:t xml:space="preserve">Strona </w:t>
    </w:r>
    <w:r w:rsidDel="00000000" w:rsidR="00000000" w:rsidRPr="00000000">
      <w:rPr>
        <w:rFonts w:ascii="Verdana" w:cs="Verdana" w:eastAsia="Verdana" w:hAnsi="Verdana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808080"/>
        <w:sz w:val="16"/>
        <w:szCs w:val="16"/>
        <w:rtl w:val="0"/>
      </w:rPr>
      <w:t xml:space="preserve"> z </w:t>
    </w:r>
    <w:r w:rsidDel="00000000" w:rsidR="00000000" w:rsidRPr="00000000">
      <w:rPr>
        <w:rFonts w:ascii="Verdana" w:cs="Verdana" w:eastAsia="Verdana" w:hAnsi="Verdana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3149"/>
      </w:tabs>
      <w:spacing w:after="1417" w:line="2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1417" w:line="2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54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1270</wp:posOffset>
          </wp:positionH>
          <wp:positionV relativeFrom="paragraph">
            <wp:posOffset>69850</wp:posOffset>
          </wp:positionV>
          <wp:extent cx="892800" cy="5544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192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>
    <w:pPr>
      <w:contextualSpacing w:val="0"/>
      <w:jc w:val="right"/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  <w:rtl w:val="0"/>
      </w:rPr>
      <w:t xml:space="preserve">INFORMACJA PRASOWA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hyperlink" Target="http://www.bluemedia.pl" TargetMode="External"/><Relationship Id="rId6" Type="http://schemas.openxmlformats.org/officeDocument/2006/relationships/hyperlink" Target="mailto:zuza@profeina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